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E6" w:rsidRDefault="003F31E6" w:rsidP="003F31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>AREA SCIENTIFICA, TECNOLOGICA, MATEMATICA</w:t>
      </w:r>
    </w:p>
    <w:p w:rsidR="00583E89" w:rsidRDefault="00583E89" w:rsidP="003F31E6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/>
      </w:tblPr>
      <w:tblGrid>
        <w:gridCol w:w="1937"/>
        <w:gridCol w:w="2849"/>
        <w:gridCol w:w="4536"/>
        <w:gridCol w:w="2835"/>
        <w:gridCol w:w="2278"/>
      </w:tblGrid>
      <w:tr w:rsidR="003F31E6" w:rsidTr="00EE72D2">
        <w:trPr>
          <w:trHeight w:val="465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3F31E6" w:rsidTr="00EE72D2">
        <w:trPr>
          <w:trHeight w:val="23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F31E6" w:rsidRDefault="003F31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F31E6" w:rsidRDefault="003F31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F31E6" w:rsidRDefault="003F31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3F31E6" w:rsidRDefault="003F31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31E6" w:rsidRDefault="003F31E6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3F31E6" w:rsidTr="00EE72D2">
        <w:trPr>
          <w:trHeight w:val="713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F31E6" w:rsidRDefault="003F31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COMPETENZA MATEMATICA E COMPETENZE DI BASE IN AMBITO SCIENTIFICO E TECNOLOGICO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Pr="00CF031F" w:rsidRDefault="003F31E6" w:rsidP="00EE72D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F031F">
              <w:rPr>
                <w:rFonts w:ascii="Verdana" w:hAnsi="Verdana" w:cs="Arial"/>
                <w:b/>
                <w:sz w:val="20"/>
                <w:szCs w:val="20"/>
              </w:rPr>
              <w:t>SMT1 Comprende il linguaggio formale specifico della matematica, sa utilizzare le procedure tipiche del pensiero matematico, conosce i contenuti fondamentali delle teorie che sono alla base della descrizione matematica della realtà.</w:t>
            </w:r>
          </w:p>
          <w:p w:rsidR="003F31E6" w:rsidRDefault="003F31E6" w:rsidP="00EE72D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31E6" w:rsidRPr="00CF031F" w:rsidRDefault="003F31E6" w:rsidP="00EE72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F031F">
              <w:rPr>
                <w:rFonts w:ascii="Verdana" w:hAnsi="Verdana" w:cs="Arial"/>
                <w:sz w:val="20"/>
                <w:szCs w:val="20"/>
              </w:rPr>
              <w:t>SMT1</w:t>
            </w:r>
            <w:r>
              <w:rPr>
                <w:rFonts w:ascii="Verdana" w:hAnsi="Verdana" w:cs="Arial"/>
                <w:sz w:val="20"/>
                <w:szCs w:val="20"/>
              </w:rPr>
              <w:t>/a</w:t>
            </w:r>
            <w:r w:rsidRPr="00CF031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F031F">
              <w:rPr>
                <w:rFonts w:ascii="Verdana" w:hAnsi="Verdana"/>
                <w:sz w:val="20"/>
                <w:szCs w:val="20"/>
              </w:rPr>
              <w:t>Utilizzare le tecniche e le procedure di calcolo aritmetico ed algebrico, rappresentandole anche sotto forma grafica.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SMT1/aa </w:t>
            </w:r>
            <w:r w:rsidRPr="00F52E17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98556F">
              <w:rPr>
                <w:rFonts w:ascii="Verdana" w:hAnsi="Verdana"/>
                <w:sz w:val="20"/>
                <w:szCs w:val="20"/>
              </w:rPr>
              <w:t>isolve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equazioni, disequazioni e sistemi di disequazioni di secondo grado intere e fratte e verifica la correttezza dei risultati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SMT1/ab </w:t>
            </w:r>
            <w:r w:rsidRPr="00F52E17">
              <w:rPr>
                <w:rFonts w:ascii="Verdana" w:hAnsi="Verdana" w:cs="Arial"/>
                <w:sz w:val="20"/>
                <w:szCs w:val="20"/>
              </w:rPr>
              <w:t xml:space="preserve">Saper </w:t>
            </w:r>
            <w:r w:rsidRPr="0098556F">
              <w:rPr>
                <w:rFonts w:ascii="Verdana" w:hAnsi="Verdana"/>
                <w:sz w:val="20"/>
                <w:szCs w:val="20"/>
              </w:rPr>
              <w:t>Applica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le principali formule relative alle sezioni coniche e alle figure geometriche sul piano cartesiano</w:t>
            </w:r>
            <w:r>
              <w:rPr>
                <w:rFonts w:ascii="Verdana" w:hAnsi="Verdana"/>
                <w:sz w:val="20"/>
                <w:szCs w:val="20"/>
              </w:rPr>
              <w:t>..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SMT1/ac </w:t>
            </w:r>
            <w:r w:rsidRPr="00F52E17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98556F">
              <w:rPr>
                <w:rFonts w:ascii="Verdana" w:hAnsi="Verdana"/>
                <w:sz w:val="20"/>
                <w:szCs w:val="20"/>
              </w:rPr>
              <w:t>isolve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semplici equazioni, disequazioni esponenziali, logaritmiche e goniometriche e verifica la correttezza dei risultati.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SMT1/ad </w:t>
            </w:r>
            <w:r w:rsidRPr="00F52E17">
              <w:rPr>
                <w:rFonts w:ascii="Verdana" w:hAnsi="Verdana" w:cs="Arial"/>
                <w:sz w:val="20"/>
                <w:szCs w:val="20"/>
              </w:rPr>
              <w:t xml:space="preserve">Saper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F52E17">
              <w:rPr>
                <w:rFonts w:ascii="Verdana" w:hAnsi="Verdana"/>
                <w:sz w:val="20"/>
                <w:szCs w:val="20"/>
              </w:rPr>
              <w:t>egge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ed interpreta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tabelle e grafici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pacing w:line="200" w:lineRule="exact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z w:val="20"/>
                <w:szCs w:val="20"/>
              </w:rPr>
              <w:t>Equazioni e disequazioni di primo e secondo grado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Default="003F31E6" w:rsidP="00EE72D2">
            <w:pPr>
              <w:spacing w:line="200" w:lineRule="exact"/>
              <w:ind w:left="39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Pr="00624E3C" w:rsidRDefault="003F31E6" w:rsidP="00EE72D2">
            <w:pPr>
              <w:spacing w:line="200" w:lineRule="exact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Sistemi di equazioni e disequazioni.</w:t>
            </w:r>
          </w:p>
          <w:p w:rsidR="003F31E6" w:rsidRPr="00624E3C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pacing w:val="-3"/>
                <w:sz w:val="20"/>
                <w:szCs w:val="20"/>
              </w:rPr>
            </w:pPr>
          </w:p>
          <w:p w:rsidR="003F31E6" w:rsidRPr="00624E3C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pacing w:val="1"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hi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 g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3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/>
                <w:i/>
                <w:spacing w:val="1"/>
                <w:sz w:val="20"/>
                <w:szCs w:val="20"/>
              </w:rPr>
              <w:t>. Applicazioni mediante equazioni e problemi .</w:t>
            </w:r>
          </w:p>
          <w:p w:rsidR="003F31E6" w:rsidRPr="00624E3C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pacing w:val="1"/>
                <w:sz w:val="20"/>
                <w:szCs w:val="20"/>
              </w:rPr>
            </w:pPr>
          </w:p>
          <w:p w:rsidR="003F31E6" w:rsidRPr="00624E3C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pacing w:val="1"/>
                <w:sz w:val="20"/>
                <w:szCs w:val="20"/>
              </w:rPr>
            </w:pPr>
            <w:r>
              <w:rPr>
                <w:rFonts w:ascii="Verdana" w:hAnsi="Verdana"/>
                <w:i/>
                <w:spacing w:val="1"/>
                <w:sz w:val="20"/>
                <w:szCs w:val="20"/>
              </w:rPr>
              <w:t>Le funzioni circolari. Applicazioni mediante equazioni e problemi.</w:t>
            </w:r>
          </w:p>
          <w:p w:rsidR="003F31E6" w:rsidRPr="00624E3C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pacing w:val="1"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un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oni</w:t>
            </w:r>
            <w:r w:rsidRPr="00624E3C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qu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d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h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 e trascendenti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 e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pp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one</w:t>
            </w:r>
            <w:r w:rsidRPr="00624E3C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raf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3F31E6" w:rsidRDefault="003F31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Matematica e Fisica</w:t>
            </w:r>
          </w:p>
          <w:p w:rsidR="003F31E6" w:rsidRDefault="003F31E6" w:rsidP="00EE72D2">
            <w:pPr>
              <w:shd w:val="clear" w:color="auto" w:fill="FFFFFF"/>
            </w:pPr>
          </w:p>
          <w:p w:rsidR="003F31E6" w:rsidRDefault="003F31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F31E6" w:rsidTr="00EE72D2">
        <w:trPr>
          <w:trHeight w:val="713"/>
        </w:trPr>
        <w:tc>
          <w:tcPr>
            <w:tcW w:w="19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31E6" w:rsidRDefault="003F31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Pr="00FE5E7B" w:rsidRDefault="003F31E6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SMT1/b</w:t>
            </w:r>
            <w:r w:rsidRPr="00CF031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F031F">
              <w:rPr>
                <w:rFonts w:ascii="Verdana" w:hAnsi="Verdana"/>
                <w:sz w:val="20"/>
                <w:szCs w:val="20"/>
              </w:rPr>
              <w:t>Utilizzare le strategie del pensiero razionale negli aspetti didattici e algoritmici per affrontare  situazioni problematiche elaborando opportune soluzioni.(Problem</w:t>
            </w:r>
            <w:r w:rsidRPr="00F52E17">
              <w:rPr>
                <w:rFonts w:ascii="Verdana" w:hAnsi="Verdana"/>
                <w:sz w:val="20"/>
                <w:szCs w:val="20"/>
              </w:rPr>
              <w:t xml:space="preserve"> solving)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SMT1b/a </w:t>
            </w:r>
            <w:r w:rsidRPr="00F52E17">
              <w:rPr>
                <w:rFonts w:ascii="Verdana" w:hAnsi="Verdana" w:cs="Arial"/>
                <w:sz w:val="20"/>
                <w:szCs w:val="20"/>
              </w:rPr>
              <w:t xml:space="preserve">Saper 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98556F">
              <w:rPr>
                <w:rFonts w:ascii="Verdana" w:hAnsi="Verdana"/>
                <w:sz w:val="20"/>
                <w:szCs w:val="20"/>
              </w:rPr>
              <w:t>rogetta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e formalizza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un percorso risolutivo attraverso modelli algebrici e grafici, verificando i risultati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SMT1c/a </w:t>
            </w:r>
            <w:r w:rsidRPr="00F52E17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l</w:t>
            </w:r>
            <w:r w:rsidRPr="0098556F">
              <w:rPr>
                <w:rFonts w:ascii="Verdana" w:hAnsi="Verdana"/>
                <w:color w:val="000000"/>
                <w:sz w:val="20"/>
                <w:szCs w:val="20"/>
              </w:rPr>
              <w:t>egge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color w:val="000000"/>
                <w:sz w:val="20"/>
                <w:szCs w:val="20"/>
              </w:rPr>
              <w:t xml:space="preserve"> e interpreta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color w:val="000000"/>
                <w:sz w:val="20"/>
                <w:szCs w:val="20"/>
              </w:rPr>
              <w:t xml:space="preserve"> l’andamento di una funzione nota, anche rapportandola a situazioni reali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624E3C" w:rsidRDefault="003F31E6" w:rsidP="00EE72D2">
            <w:pPr>
              <w:ind w:left="39" w:right="821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3"/>
                <w:sz w:val="20"/>
                <w:szCs w:val="20"/>
              </w:rPr>
              <w:t>s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oni</w:t>
            </w: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he 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ll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’a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pp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s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e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liti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o.</w:t>
            </w:r>
          </w:p>
          <w:p w:rsidR="003F31E6" w:rsidRPr="00624E3C" w:rsidRDefault="003F31E6" w:rsidP="00EE72D2">
            <w:pPr>
              <w:spacing w:before="1"/>
              <w:ind w:left="39"/>
              <w:rPr>
                <w:rFonts w:ascii="Verdana" w:hAnsi="Verdana"/>
                <w:i/>
                <w:spacing w:val="1"/>
                <w:sz w:val="20"/>
                <w:szCs w:val="20"/>
              </w:rPr>
            </w:pPr>
          </w:p>
          <w:p w:rsidR="003F31E6" w:rsidRPr="00624E3C" w:rsidRDefault="003F31E6" w:rsidP="00EE72D2">
            <w:pPr>
              <w:spacing w:before="1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Ci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fe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7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parabola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Pr="00624E3C" w:rsidRDefault="003F31E6" w:rsidP="00EE72D2">
            <w:pPr>
              <w:spacing w:line="260" w:lineRule="exact"/>
              <w:ind w:left="105"/>
              <w:rPr>
                <w:rFonts w:ascii="Verdana" w:hAnsi="Verdana"/>
                <w:i/>
                <w:spacing w:val="-3"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un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oni</w:t>
            </w:r>
            <w:r w:rsidRPr="00624E3C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 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a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so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one</w:t>
            </w:r>
            <w:r w:rsidRPr="00624E3C">
              <w:rPr>
                <w:rFonts w:ascii="Verdana" w:hAnsi="Verdana"/>
                <w:i/>
                <w:spacing w:val="-8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d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Le funzioni trascendenti e il loro riscontro in situazioni reali.</w:t>
            </w: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F31E6" w:rsidTr="00EE72D2">
        <w:trPr>
          <w:trHeight w:val="713"/>
        </w:trPr>
        <w:tc>
          <w:tcPr>
            <w:tcW w:w="19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F31E6" w:rsidRDefault="003F31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Pr="00FE5E7B" w:rsidRDefault="003F31E6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SMT2 </w:t>
            </w:r>
            <w:r w:rsidRPr="00FE5E7B">
              <w:rPr>
                <w:rFonts w:ascii="Verdana" w:hAnsi="Verdana"/>
                <w:b/>
                <w:sz w:val="20"/>
                <w:szCs w:val="20"/>
              </w:rPr>
              <w:t>Utilizzare i contenuti fondamentali delle scienze fisiche, padroneggiandone le procedure e i metodi di indagine propri, anche per potersi orientare nel campo delle scienze applicate.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SMT2a </w:t>
            </w:r>
            <w:r w:rsidRPr="0098556F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ssere</w:t>
            </w:r>
            <w:r w:rsidRPr="009855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z w:val="20"/>
                <w:szCs w:val="20"/>
              </w:rPr>
              <w:t>n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>g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ra</w:t>
            </w:r>
            <w:r w:rsidRPr="0098556F">
              <w:rPr>
                <w:rFonts w:ascii="Verdana" w:hAnsi="Verdana"/>
                <w:spacing w:val="2"/>
                <w:sz w:val="20"/>
                <w:szCs w:val="20"/>
              </w:rPr>
              <w:t>d</w:t>
            </w:r>
            <w:r w:rsidRPr="0098556F">
              <w:rPr>
                <w:rFonts w:ascii="Verdana" w:hAnsi="Verdana"/>
                <w:sz w:val="20"/>
                <w:szCs w:val="20"/>
              </w:rPr>
              <w:t>o</w:t>
            </w:r>
            <w:r w:rsidRPr="009855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z w:val="20"/>
                <w:szCs w:val="20"/>
              </w:rPr>
              <w:t>di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z w:val="20"/>
                <w:szCs w:val="20"/>
              </w:rPr>
              <w:t>p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Pr="0098556F">
              <w:rPr>
                <w:rFonts w:ascii="Verdana" w:hAnsi="Verdana"/>
                <w:sz w:val="20"/>
                <w:szCs w:val="20"/>
              </w:rPr>
              <w:t>d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98556F">
              <w:rPr>
                <w:rFonts w:ascii="Verdana" w:hAnsi="Verdana"/>
                <w:sz w:val="20"/>
                <w:szCs w:val="20"/>
              </w:rPr>
              <w:t>o</w:t>
            </w:r>
            <w:r w:rsidRPr="0098556F">
              <w:rPr>
                <w:rFonts w:ascii="Verdana" w:hAnsi="Verdana"/>
                <w:spacing w:val="2"/>
                <w:sz w:val="20"/>
                <w:szCs w:val="20"/>
              </w:rPr>
              <w:t>n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e</w:t>
            </w:r>
            <w:r w:rsidRPr="0098556F">
              <w:rPr>
                <w:rFonts w:ascii="Verdana" w:hAnsi="Verdana"/>
                <w:sz w:val="20"/>
                <w:szCs w:val="20"/>
              </w:rPr>
              <w:t>g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>g</w:t>
            </w:r>
            <w:r w:rsidRPr="0098556F">
              <w:rPr>
                <w:rFonts w:ascii="Verdana" w:hAnsi="Verdana"/>
                <w:spacing w:val="3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ar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>g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Pr="0098556F">
              <w:rPr>
                <w:rFonts w:ascii="Verdana" w:hAnsi="Verdana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 xml:space="preserve"> a</w:t>
            </w:r>
            <w:r w:rsidRPr="0098556F">
              <w:rPr>
                <w:rFonts w:ascii="Verdana" w:hAnsi="Verdana"/>
                <w:sz w:val="20"/>
                <w:szCs w:val="20"/>
              </w:rPr>
              <w:t>sp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e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tt</w:t>
            </w:r>
            <w:r w:rsidRPr="0098556F">
              <w:rPr>
                <w:rFonts w:ascii="Verdana" w:hAnsi="Verdana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z w:val="20"/>
                <w:szCs w:val="20"/>
              </w:rPr>
              <w:t>p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z w:val="20"/>
                <w:szCs w:val="20"/>
              </w:rPr>
              <w:t>ù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98556F">
              <w:rPr>
                <w:rFonts w:ascii="Verdana" w:hAnsi="Verdana"/>
                <w:sz w:val="20"/>
                <w:szCs w:val="20"/>
              </w:rPr>
              <w:t>po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Pr="0098556F">
              <w:rPr>
                <w:rFonts w:ascii="Verdana" w:hAnsi="Verdana"/>
                <w:sz w:val="20"/>
                <w:szCs w:val="20"/>
              </w:rPr>
              <w:t>n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t</w:t>
            </w:r>
            <w:r w:rsidRPr="0098556F">
              <w:rPr>
                <w:rFonts w:ascii="Verdana" w:hAnsi="Verdana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z w:val="20"/>
                <w:szCs w:val="20"/>
              </w:rPr>
              <w:t>d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e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ll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a 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m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ecca</w:t>
            </w:r>
            <w:r w:rsidRPr="0098556F">
              <w:rPr>
                <w:rFonts w:ascii="Verdana" w:hAnsi="Verdana"/>
                <w:sz w:val="20"/>
                <w:szCs w:val="20"/>
              </w:rPr>
              <w:t>n</w:t>
            </w:r>
            <w:r w:rsidRPr="0098556F">
              <w:rPr>
                <w:rFonts w:ascii="Verdana" w:hAnsi="Verdana"/>
                <w:spacing w:val="3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98556F">
              <w:rPr>
                <w:rFonts w:ascii="Verdana" w:hAnsi="Verdana"/>
                <w:sz w:val="20"/>
                <w:szCs w:val="20"/>
              </w:rPr>
              <w:t>a</w:t>
            </w:r>
            <w:r w:rsidRPr="0098556F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c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l</w:t>
            </w:r>
            <w:r w:rsidRPr="0098556F">
              <w:rPr>
                <w:rFonts w:ascii="Verdana" w:hAnsi="Verdana"/>
                <w:spacing w:val="-1"/>
                <w:sz w:val="20"/>
                <w:szCs w:val="20"/>
              </w:rPr>
              <w:t>a</w:t>
            </w:r>
            <w:r w:rsidRPr="0098556F">
              <w:rPr>
                <w:rFonts w:ascii="Verdana" w:hAnsi="Verdana"/>
                <w:sz w:val="20"/>
                <w:szCs w:val="20"/>
              </w:rPr>
              <w:t>ss</w:t>
            </w:r>
            <w:r w:rsidRPr="0098556F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pacing w:val="2"/>
                <w:sz w:val="20"/>
                <w:szCs w:val="20"/>
              </w:rPr>
              <w:t>c</w:t>
            </w:r>
            <w:r w:rsidRPr="0098556F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SMT2b </w:t>
            </w:r>
            <w:r>
              <w:rPr>
                <w:rFonts w:ascii="Verdana" w:hAnsi="Verdana"/>
                <w:sz w:val="20"/>
                <w:szCs w:val="20"/>
              </w:rPr>
              <w:t xml:space="preserve"> Essere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in grado di descrivere gli aspetti termodinamici principali del mondo fisico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SMT2c </w:t>
            </w:r>
            <w:r w:rsidRPr="00F52E17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98556F">
              <w:rPr>
                <w:rFonts w:ascii="Verdana" w:hAnsi="Verdana"/>
                <w:sz w:val="20"/>
                <w:szCs w:val="20"/>
              </w:rPr>
              <w:t>ndividua</w:t>
            </w:r>
            <w:r>
              <w:rPr>
                <w:rFonts w:ascii="Verdana" w:hAnsi="Verdana"/>
                <w:sz w:val="20"/>
                <w:szCs w:val="20"/>
              </w:rPr>
              <w:t>re</w:t>
            </w:r>
            <w:r w:rsidRPr="0098556F">
              <w:rPr>
                <w:rFonts w:ascii="Verdana" w:hAnsi="Verdana"/>
                <w:sz w:val="20"/>
                <w:szCs w:val="20"/>
              </w:rPr>
              <w:t xml:space="preserve"> le grandezze caratteristiche di un’onda e le relazioni </w:t>
            </w:r>
            <w:r w:rsidRPr="0098556F">
              <w:rPr>
                <w:rFonts w:ascii="Verdana" w:hAnsi="Verdana"/>
                <w:sz w:val="20"/>
                <w:szCs w:val="20"/>
              </w:rPr>
              <w:lastRenderedPageBreak/>
              <w:t>che le legano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624E3C" w:rsidRDefault="003F31E6" w:rsidP="00EE72D2">
            <w:pPr>
              <w:spacing w:line="260" w:lineRule="exact"/>
              <w:ind w:left="39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lastRenderedPageBreak/>
              <w:t>Si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im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po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d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l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odo</w:t>
            </w:r>
            <w:r w:rsidRPr="00624E3C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o.</w:t>
            </w:r>
          </w:p>
          <w:p w:rsidR="003F31E6" w:rsidRPr="00624E3C" w:rsidRDefault="003F31E6" w:rsidP="00EE72D2">
            <w:pPr>
              <w:spacing w:before="18" w:line="260" w:lineRule="exact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Pr="00624E3C" w:rsidRDefault="003F31E6" w:rsidP="00EE72D2">
            <w:pPr>
              <w:ind w:left="105" w:right="526" w:hanging="66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Il si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 S.I.</w:t>
            </w:r>
          </w:p>
          <w:p w:rsidR="003F31E6" w:rsidRPr="00624E3C" w:rsidRDefault="003F31E6" w:rsidP="00EE72D2">
            <w:pPr>
              <w:ind w:right="286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tt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di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su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,</w:t>
            </w:r>
            <w:r w:rsidRPr="00624E3C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cer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zz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 su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su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Pr="00624E3C" w:rsidRDefault="003F31E6" w:rsidP="00EE72D2">
            <w:pPr>
              <w:spacing w:before="1" w:line="280" w:lineRule="exact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Pr="00624E3C" w:rsidRDefault="003F31E6" w:rsidP="00EE72D2">
            <w:pPr>
              <w:ind w:left="39" w:right="581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P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nd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zz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f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he d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ec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o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lastRenderedPageBreak/>
              <w:t>d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im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ns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Pr="00624E3C" w:rsidRDefault="003F31E6" w:rsidP="00EE72D2">
            <w:pPr>
              <w:ind w:left="39" w:right="145"/>
              <w:rPr>
                <w:rFonts w:ascii="Verdana" w:hAnsi="Verdana"/>
                <w:i/>
                <w:spacing w:val="-5"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w w:val="99"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2"/>
                <w:w w:val="99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-2"/>
                <w:w w:val="99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w w:val="99"/>
                <w:sz w:val="20"/>
                <w:szCs w:val="20"/>
              </w:rPr>
              <w:t>,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w w:val="99"/>
                <w:sz w:val="20"/>
                <w:szCs w:val="20"/>
              </w:rPr>
              <w:t>vo</w:t>
            </w:r>
            <w:r w:rsidRPr="00624E3C">
              <w:rPr>
                <w:rFonts w:ascii="Verdana" w:hAnsi="Verdana"/>
                <w:i/>
                <w:spacing w:val="-1"/>
                <w:w w:val="99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w w:val="99"/>
                <w:sz w:val="20"/>
                <w:szCs w:val="20"/>
              </w:rPr>
              <w:t>o,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 po</w:t>
            </w:r>
            <w:r w:rsidRPr="00624E3C">
              <w:rPr>
                <w:rFonts w:ascii="Verdana" w:hAnsi="Verdana"/>
                <w:i/>
                <w:spacing w:val="3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  <w:r w:rsidRPr="00624E3C">
              <w:rPr>
                <w:rFonts w:ascii="Verdana" w:hAnsi="Verdana"/>
                <w:i/>
                <w:spacing w:val="-5"/>
                <w:sz w:val="20"/>
                <w:szCs w:val="20"/>
              </w:rPr>
              <w:t xml:space="preserve"> </w:t>
            </w:r>
          </w:p>
          <w:p w:rsidR="003F31E6" w:rsidRPr="00624E3C" w:rsidRDefault="003F31E6" w:rsidP="00EE72D2">
            <w:pPr>
              <w:ind w:left="39" w:right="145"/>
              <w:rPr>
                <w:rFonts w:ascii="Verdana" w:hAnsi="Verdana"/>
                <w:i/>
                <w:spacing w:val="-5"/>
                <w:sz w:val="20"/>
                <w:szCs w:val="20"/>
              </w:rPr>
            </w:pPr>
          </w:p>
          <w:p w:rsidR="003F31E6" w:rsidRPr="00624E3C" w:rsidRDefault="003F31E6" w:rsidP="00EE72D2">
            <w:pPr>
              <w:ind w:left="39" w:right="145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P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pi</w:t>
            </w:r>
            <w:r w:rsidRPr="00624E3C">
              <w:rPr>
                <w:rFonts w:ascii="Verdana" w:hAnsi="Verdana"/>
                <w:i/>
                <w:spacing w:val="-4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-2"/>
                <w:sz w:val="20"/>
                <w:szCs w:val="20"/>
              </w:rPr>
              <w:t>g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era</w:t>
            </w:r>
            <w:r w:rsidRPr="00624E3C">
              <w:rPr>
                <w:rFonts w:ascii="Verdana" w:hAnsi="Verdana"/>
                <w:i/>
                <w:spacing w:val="3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di 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ons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er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v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z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one</w:t>
            </w:r>
            <w:r w:rsidRPr="00624E3C">
              <w:rPr>
                <w:rFonts w:ascii="Verdana" w:hAnsi="Verdana"/>
                <w:i/>
                <w:spacing w:val="-9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dell’energia</w:t>
            </w:r>
          </w:p>
          <w:p w:rsidR="003F31E6" w:rsidRPr="00624E3C" w:rsidRDefault="003F31E6" w:rsidP="00EE72D2">
            <w:pPr>
              <w:spacing w:line="200" w:lineRule="exact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Pr="00624E3C" w:rsidRDefault="003F31E6" w:rsidP="00EE72D2">
            <w:pPr>
              <w:ind w:right="593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z w:val="20"/>
                <w:szCs w:val="20"/>
              </w:rPr>
              <w:t>Equ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ili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b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er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od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i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n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mi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o</w:t>
            </w:r>
            <w:r w:rsidRPr="00624E3C">
              <w:rPr>
                <w:rFonts w:ascii="Verdana" w:hAnsi="Verdana"/>
                <w:i/>
                <w:spacing w:val="-6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 xml:space="preserve">e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m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p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era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t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u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r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Pr="00624E3C" w:rsidRDefault="003F31E6" w:rsidP="00EE72D2">
            <w:pPr>
              <w:spacing w:line="200" w:lineRule="exact"/>
              <w:rPr>
                <w:rFonts w:ascii="Verdana" w:hAnsi="Verdana"/>
                <w:i/>
                <w:sz w:val="20"/>
                <w:szCs w:val="20"/>
              </w:rPr>
            </w:pPr>
          </w:p>
          <w:p w:rsidR="003F31E6" w:rsidRDefault="003F31E6" w:rsidP="00EE72D2">
            <w:pPr>
              <w:spacing w:line="484" w:lineRule="auto"/>
              <w:ind w:right="294"/>
              <w:rPr>
                <w:rFonts w:ascii="Verdana" w:hAnsi="Verdana"/>
                <w:i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z w:val="20"/>
                <w:szCs w:val="20"/>
              </w:rPr>
              <w:t>Le onde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624E3C">
              <w:rPr>
                <w:rFonts w:ascii="Verdana" w:hAnsi="Verdana"/>
                <w:i/>
                <w:spacing w:val="-3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a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 xml:space="preserve"> </w:t>
            </w:r>
            <w:r w:rsidRPr="00624E3C">
              <w:rPr>
                <w:rFonts w:ascii="Verdana" w:hAnsi="Verdana"/>
                <w:i/>
                <w:spacing w:val="1"/>
                <w:sz w:val="20"/>
                <w:szCs w:val="20"/>
              </w:rPr>
              <w:t>l</w:t>
            </w:r>
            <w:r w:rsidRPr="00624E3C">
              <w:rPr>
                <w:rFonts w:ascii="Verdana" w:hAnsi="Verdana"/>
                <w:i/>
                <w:spacing w:val="2"/>
                <w:sz w:val="20"/>
                <w:szCs w:val="20"/>
              </w:rPr>
              <w:t>u</w:t>
            </w:r>
            <w:r w:rsidRPr="00624E3C">
              <w:rPr>
                <w:rFonts w:ascii="Verdana" w:hAnsi="Verdana"/>
                <w:i/>
                <w:spacing w:val="-1"/>
                <w:sz w:val="20"/>
                <w:szCs w:val="20"/>
              </w:rPr>
              <w:t>ce</w:t>
            </w:r>
            <w:r w:rsidRPr="00624E3C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  <w:tc>
          <w:tcPr>
            <w:tcW w:w="2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F31E6" w:rsidTr="00EE72D2">
        <w:trPr>
          <w:trHeight w:val="713"/>
        </w:trPr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Default="003F31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Pr="00FE5E7B" w:rsidRDefault="003F31E6" w:rsidP="00EE72D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SMT3 </w:t>
            </w:r>
            <w:r w:rsidRPr="00FE5E7B">
              <w:rPr>
                <w:rFonts w:ascii="Verdana" w:hAnsi="Verdana"/>
                <w:b/>
                <w:sz w:val="20"/>
                <w:szCs w:val="20"/>
              </w:rPr>
              <w:t>Utilizzare strumenti informatici e telematici nelle attività di studio e di approfondimento</w:t>
            </w:r>
            <w:r w:rsidRPr="00FE5E7B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98556F" w:rsidRDefault="003F31E6" w:rsidP="00EE72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SMT3a </w:t>
            </w:r>
            <w:r w:rsidRPr="0098556F">
              <w:rPr>
                <w:rFonts w:ascii="Verdana" w:hAnsi="Verdana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per</w:t>
            </w:r>
            <w:r w:rsidRPr="0098556F">
              <w:rPr>
                <w:rFonts w:ascii="Verdana" w:hAnsi="Verdana"/>
                <w:color w:val="000000"/>
                <w:sz w:val="20"/>
                <w:szCs w:val="20"/>
              </w:rPr>
              <w:t xml:space="preserve"> produrre, presentare e comprendere informazioni su argomenti scientifici, utilizzando anche gli strumenti informatici.</w:t>
            </w:r>
          </w:p>
          <w:p w:rsidR="003F31E6" w:rsidRPr="0098556F" w:rsidRDefault="003F31E6" w:rsidP="00EE72D2">
            <w:pPr>
              <w:autoSpaceDE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L’ambiente Windows.</w:t>
            </w:r>
          </w:p>
          <w:p w:rsidR="003F31E6" w:rsidRDefault="003F31E6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Internet come strumento di ricerca e di approfondimento.</w:t>
            </w:r>
          </w:p>
        </w:tc>
        <w:tc>
          <w:tcPr>
            <w:tcW w:w="2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3F31E6" w:rsidTr="00EE72D2">
        <w:trPr>
          <w:trHeight w:val="713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Default="003F31E6" w:rsidP="00EE72D2">
            <w:pPr>
              <w:pStyle w:val="Paragrafoelenco"/>
              <w:snapToGrid w:val="0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3F31E6" w:rsidRDefault="003F31E6" w:rsidP="00EE72D2">
            <w:pPr>
              <w:pStyle w:val="Paragrafoelenco"/>
              <w:spacing w:after="0" w:line="240" w:lineRule="auto"/>
              <w:ind w:left="0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IN CAMPO SCIENTIFICO-TECNOLOGICO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Saper individuare in relazione alla scala il sistema di riferimento, i suoi elementi chiave 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e le diverse forme di relazione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>T2 Saper organizzare  e interpretare dati nei diversi sistemi di rappresentazione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3F31E6" w:rsidRPr="00FE5E7B" w:rsidRDefault="003F31E6" w:rsidP="00EE72D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>T3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>Saper autonomamente raccogliere e interpretare dati attraverso osservazione diretta o la consultazione di testi e manuali o media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Pr="0098556F" w:rsidRDefault="003F31E6" w:rsidP="00EE72D2">
            <w:pPr>
              <w:autoSpaceDE w:val="0"/>
              <w:ind w:left="-34" w:firstLine="34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3F31E6" w:rsidRPr="0098556F" w:rsidRDefault="003F31E6" w:rsidP="00EE72D2">
            <w:pPr>
              <w:autoSpaceDE w:val="0"/>
              <w:ind w:left="-34" w:firstLine="34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Pr="00FE5E7B"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1/2/3a</w:t>
            </w:r>
            <w:r w:rsidRPr="0098556F">
              <w:rPr>
                <w:rFonts w:ascii="Verdana" w:hAnsi="Verdana" w:cs="Verdana"/>
                <w:bCs/>
                <w:sz w:val="20"/>
                <w:szCs w:val="20"/>
              </w:rPr>
              <w:t>Interpretare un fenomeno naturale o un sistema artificiale dal punto di vista dei flussi di materia ed energia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  <w:p w:rsidR="003F31E6" w:rsidRPr="0098556F" w:rsidRDefault="003F31E6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7B4B62">
              <w:rPr>
                <w:rFonts w:ascii="Verdana" w:hAnsi="Verdana" w:cs="Verdana"/>
                <w:b/>
                <w:bCs/>
                <w:sz w:val="20"/>
                <w:szCs w:val="20"/>
              </w:rPr>
              <w:t>ST3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b </w:t>
            </w:r>
            <w:r w:rsidRPr="0098556F">
              <w:rPr>
                <w:rFonts w:ascii="Verdana" w:hAnsi="Verdana" w:cs="Verdana"/>
                <w:bCs/>
                <w:sz w:val="20"/>
                <w:szCs w:val="20"/>
              </w:rPr>
              <w:t>Saper individuare gli elementi che garantiscono il benessere psico-fisico del corpo umano e la prevenzione da numerose malattie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  <w:p w:rsidR="003F31E6" w:rsidRPr="0098556F" w:rsidRDefault="003F31E6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Conoscenza delle proprietà e struttura e della materia e delle sue trasformazioni, fisico-</w:t>
            </w: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lastRenderedPageBreak/>
              <w:t>chimiche.</w:t>
            </w:r>
          </w:p>
          <w:p w:rsidR="003F31E6" w:rsidRDefault="003F31E6" w:rsidP="00EE72D2">
            <w:p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ind w:left="36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Conoscenza della struttura gerarchica organizzativa del corpo umano: cellule, tessuti, organi e sistemi e loro funzioni.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E6" w:rsidRDefault="003F31E6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3F31E6" w:rsidRDefault="003F31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3F31E6" w:rsidRPr="0098556F" w:rsidRDefault="003F31E6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 w:rsidRPr="0098556F"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Chimic</w:t>
            </w: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a 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Anatomia</w:t>
            </w:r>
          </w:p>
          <w:p w:rsidR="003F31E6" w:rsidRDefault="003F31E6" w:rsidP="00EE72D2">
            <w:pPr>
              <w:shd w:val="clear" w:color="auto" w:fill="FFFFFF"/>
            </w:pPr>
          </w:p>
          <w:p w:rsidR="003F31E6" w:rsidRDefault="003F31E6" w:rsidP="00EE72D2">
            <w:pPr>
              <w:shd w:val="clear" w:color="auto" w:fill="FFFFFF"/>
            </w:pPr>
          </w:p>
          <w:p w:rsidR="003F31E6" w:rsidRDefault="003F31E6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3F31E6" w:rsidRDefault="003F31E6" w:rsidP="00EE72D2">
            <w:pPr>
              <w:shd w:val="clear" w:color="auto" w:fill="FFFFFF"/>
            </w:pPr>
          </w:p>
        </w:tc>
      </w:tr>
    </w:tbl>
    <w:p w:rsidR="003737DE" w:rsidRDefault="003737DE"/>
    <w:sectPr w:rsidR="003737DE" w:rsidSect="003F31E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drawingGridHorizontalSpacing w:val="110"/>
  <w:displayHorizontalDrawingGridEvery w:val="2"/>
  <w:characterSpacingControl w:val="doNotCompress"/>
  <w:compat/>
  <w:rsids>
    <w:rsidRoot w:val="003F31E6"/>
    <w:rsid w:val="003737DE"/>
    <w:rsid w:val="003F31E6"/>
    <w:rsid w:val="00583E89"/>
    <w:rsid w:val="0099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F31E6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3F31E6"/>
    <w:rPr>
      <w:b/>
      <w:bCs/>
    </w:rPr>
  </w:style>
  <w:style w:type="paragraph" w:styleId="Paragrafoelenco">
    <w:name w:val="List Paragraph"/>
    <w:basedOn w:val="Normale"/>
    <w:uiPriority w:val="34"/>
    <w:qFormat/>
    <w:rsid w:val="003F31E6"/>
    <w:pPr>
      <w:suppressAutoHyphens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2015-10-27T20:37:00Z</dcterms:created>
  <dcterms:modified xsi:type="dcterms:W3CDTF">2015-11-03T20:50:00Z</dcterms:modified>
</cp:coreProperties>
</file>